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4068"/>
        <w:gridCol w:w="3476"/>
        <w:gridCol w:w="3480"/>
        <w:gridCol w:w="2956"/>
        <w:gridCol w:w="3016"/>
      </w:tblGrid>
      <w:tr w:rsidR="00F16C1E" w:rsidRPr="00F16C1E" w:rsidTr="00F16C1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noProof/>
                <w:color w:val="000000"/>
                <w:sz w:val="20"/>
                <w:lang w:val="es-PY" w:eastAsia="es-PY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381000</wp:posOffset>
                  </wp:positionH>
                  <wp:positionV relativeFrom="paragraph">
                    <wp:posOffset>9525</wp:posOffset>
                  </wp:positionV>
                  <wp:extent cx="409575" cy="714375"/>
                  <wp:effectExtent l="19050" t="0" r="0" b="0"/>
                  <wp:wrapNone/>
                  <wp:docPr id="10" name="1 Imag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701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80"/>
            </w:tblGrid>
            <w:tr w:rsidR="00F16C1E" w:rsidRPr="00F16C1E">
              <w:trPr>
                <w:trHeight w:val="300"/>
                <w:tblCellSpacing w:w="0" w:type="dxa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6C1E" w:rsidRPr="00F16C1E" w:rsidRDefault="00F16C1E" w:rsidP="00F16C1E">
                  <w:pPr>
                    <w:jc w:val="left"/>
                    <w:rPr>
                      <w:rFonts w:ascii="Calibri" w:eastAsia="Times New Roman" w:hAnsi="Calibri" w:cs="Times New Roman"/>
                      <w:color w:val="000000"/>
                      <w:sz w:val="20"/>
                      <w:lang w:eastAsia="es-ES"/>
                    </w:rPr>
                  </w:pPr>
                </w:p>
              </w:tc>
            </w:tr>
          </w:tbl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lang w:eastAsia="es-ES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val="es-PY" w:eastAsia="es-PY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647700</wp:posOffset>
                  </wp:positionH>
                  <wp:positionV relativeFrom="paragraph">
                    <wp:posOffset>161925</wp:posOffset>
                  </wp:positionV>
                  <wp:extent cx="514350" cy="542925"/>
                  <wp:effectExtent l="19050" t="0" r="0" b="0"/>
                  <wp:wrapNone/>
                  <wp:docPr id="11" name="2 Imag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 Image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09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40"/>
            </w:tblGrid>
            <w:tr w:rsidR="00F16C1E" w:rsidRPr="00F16C1E">
              <w:trPr>
                <w:trHeight w:val="300"/>
                <w:tblCellSpacing w:w="0" w:type="dxa"/>
              </w:trPr>
              <w:tc>
                <w:tcPr>
                  <w:tcW w:w="3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6C1E" w:rsidRPr="00F16C1E" w:rsidRDefault="00F16C1E" w:rsidP="00F16C1E">
                  <w:pPr>
                    <w:jc w:val="left"/>
                    <w:rPr>
                      <w:rFonts w:ascii="Calibri" w:eastAsia="Times New Roman" w:hAnsi="Calibri" w:cs="Times New Roman"/>
                      <w:color w:val="000000"/>
                      <w:lang w:eastAsia="es-ES"/>
                    </w:rPr>
                  </w:pPr>
                </w:p>
              </w:tc>
            </w:tr>
          </w:tbl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F16C1E" w:rsidRPr="00F16C1E" w:rsidTr="00F16C1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lang w:eastAsia="es-ES"/>
              </w:rPr>
            </w:pPr>
            <w:bookmarkStart w:id="0" w:name="RANGE!B2:F17"/>
            <w:bookmarkEnd w:id="0"/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F16C1E" w:rsidRPr="00F16C1E" w:rsidTr="00F16C1E">
        <w:trPr>
          <w:trHeight w:val="124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lang w:eastAsia="es-ES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F16C1E" w:rsidRPr="00F16C1E" w:rsidTr="00F16C1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lang w:eastAsia="es-ES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F16C1E" w:rsidRPr="00F16C1E" w:rsidTr="00F16C1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sz w:val="20"/>
                <w:lang w:eastAsia="es-ES"/>
              </w:rPr>
              <w:t xml:space="preserve">Derechos Humanos                                 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     DEFENSORIA DEL PUEBLO</w:t>
            </w: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   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F16C1E" w:rsidRPr="00F16C1E" w:rsidTr="00F16C1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sz w:val="20"/>
                <w:lang w:eastAsia="es-ES"/>
              </w:rPr>
              <w:t>Derechos de Todos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F16C1E" w:rsidRPr="00F16C1E" w:rsidTr="00F16C1E">
        <w:trPr>
          <w:trHeight w:val="31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6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PLAN OPERATIVO ANUAL (POA) 2018</w:t>
            </w: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F16C1E" w:rsidRPr="00F16C1E" w:rsidTr="00F16C1E">
        <w:trPr>
          <w:trHeight w:val="40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Entidad: 15 Defensoría del Pueblo.-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F16C1E" w:rsidRPr="00F16C1E" w:rsidTr="00F16C1E">
        <w:trPr>
          <w:trHeight w:val="40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Tipo Presupuesto: 2 Programas de Acción.-</w:t>
            </w: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F16C1E" w:rsidRPr="00F16C1E" w:rsidTr="00F16C1E">
        <w:trPr>
          <w:trHeight w:val="40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Programa: 2 – 1 Servicios Sociales de Calidad</w:t>
            </w: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F16C1E" w:rsidRPr="00F16C1E" w:rsidTr="00F16C1E">
        <w:trPr>
          <w:trHeight w:val="40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3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C1E" w:rsidRPr="00D619F1" w:rsidRDefault="00F16C1E" w:rsidP="00F16C1E">
            <w:pPr>
              <w:jc w:val="left"/>
              <w:rPr>
                <w:rFonts w:ascii="Arial" w:eastAsia="Times New Roman" w:hAnsi="Arial" w:cs="Arial"/>
                <w:b/>
                <w:bCs/>
                <w:color w:val="F79646" w:themeColor="accent6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Dirección o Departamentos: DIRECCION - UNIDAD ESPECIALIZADA DE VICTIMAS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F16C1E" w:rsidRPr="00382285" w:rsidTr="00F16C1E">
        <w:trPr>
          <w:trHeight w:val="63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D619F1" w:rsidRDefault="00F16C1E" w:rsidP="00F16C1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bookmarkStart w:id="1" w:name="_GoBack"/>
            <w:bookmarkEnd w:id="1"/>
            <w:r w:rsidRPr="00D619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OBJETIVOS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D619F1" w:rsidRDefault="00F16C1E" w:rsidP="00F16C1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19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METAS 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D619F1" w:rsidRDefault="00F16C1E" w:rsidP="00F16C1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19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ACTIVIDADES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D619F1" w:rsidRDefault="00F16C1E" w:rsidP="00F16C1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19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LIMITACIONES 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1E" w:rsidRPr="00D619F1" w:rsidRDefault="00F16C1E" w:rsidP="00F16C1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19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MEDIOS DE COMPROBACION</w:t>
            </w:r>
          </w:p>
        </w:tc>
      </w:tr>
      <w:tr w:rsidR="00F16C1E" w:rsidRPr="00F16C1E" w:rsidTr="00004946">
        <w:trPr>
          <w:trHeight w:val="2293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Dirigir y Supervisar los trabajos de las delegaciones que tengan a su cargo la </w:t>
            </w:r>
            <w:r w:rsidR="003F61C1"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tramitación</w:t>
            </w: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de expedientes de Indemnización de las Leyes Nº 838/96 y 3603/08 desde la apertura de los mismos hasta la expedición de la Resolución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1E" w:rsidRPr="00F16C1E" w:rsidRDefault="00F16C1E" w:rsidP="00C34C6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Finiquitar la mayor cantidad de expedientes de Indemnización en trámite en las diferentes delegaciones </w:t>
            </w:r>
            <w:r w:rsidR="00C34C6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que se encuentren incompleto </w:t>
            </w: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y  </w:t>
            </w:r>
            <w:r w:rsidR="00C34C6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que transcurrió</w:t>
            </w: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cierto  tiempo desde la apertura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Mayor rigurosidad jurídica en la apertura de los expedientes de indemnización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Errores continuos en las resoluciones emitidas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1E" w:rsidRPr="00F16C1E" w:rsidRDefault="003F61C1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Remisión</w:t>
            </w:r>
            <w:r w:rsidR="00F16C1E"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de  los informes mensuales y el inventario (se encuentran en la página Web) de cada delegación a la Dirección de Gabinete y Dirección  General de Análisis e Informes.</w:t>
            </w:r>
          </w:p>
        </w:tc>
      </w:tr>
      <w:tr w:rsidR="00004946" w:rsidRPr="00F16C1E" w:rsidTr="003A11A8">
        <w:trPr>
          <w:trHeight w:val="3315"/>
        </w:trPr>
        <w:tc>
          <w:tcPr>
            <w:tcW w:w="1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946" w:rsidRPr="00F16C1E" w:rsidRDefault="00004946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46" w:rsidRPr="00F16C1E" w:rsidRDefault="00004946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46" w:rsidRPr="00F16C1E" w:rsidRDefault="00004946" w:rsidP="000875C6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Mejor comunicación  entre delegados para cubrir turnos,  consultas personales o telefónicas de los recurrentes, en el caso de que los                                                                                                                          asignados con turnos no puedan cubrir con dichas </w:t>
            </w:r>
            <w:r w:rsidR="003F6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funciones por diversas causas, </w:t>
            </w:r>
            <w:r w:rsidR="000875C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esta comunicación se debería </w:t>
            </w:r>
            <w:r w:rsidR="00C945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tener en todos los niveles .</w:t>
            </w:r>
            <w:r w:rsidR="003F6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Avisar  a</w:t>
            </w: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l superior inmediato en caso de ausencias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46" w:rsidRPr="00F16C1E" w:rsidRDefault="00004946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Tratar de que </w:t>
            </w:r>
            <w:r w:rsidR="003F61C1"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Relatoría</w:t>
            </w: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reciba con mayor celeridad los expedientes pendientes de  </w:t>
            </w:r>
            <w:r w:rsidR="003F61C1"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resolución</w:t>
            </w: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y que se encuentran en </w:t>
            </w:r>
            <w:r w:rsidR="003F61C1"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Coordinación</w:t>
            </w: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de Documento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46" w:rsidRPr="00F16C1E" w:rsidRDefault="00004946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Demora para efectuar las rectificaciones en las resoluciones que constan de errores.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46" w:rsidRPr="00F16C1E" w:rsidRDefault="00004946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004946" w:rsidRPr="00F16C1E" w:rsidTr="003A11A8">
        <w:tc>
          <w:tcPr>
            <w:tcW w:w="1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946" w:rsidRPr="00F16C1E" w:rsidRDefault="00004946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46" w:rsidRPr="00F16C1E" w:rsidRDefault="00004946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4946" w:rsidRPr="00F16C1E" w:rsidRDefault="00004946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4946" w:rsidRPr="00F16C1E" w:rsidRDefault="00004946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4946" w:rsidRPr="00F16C1E" w:rsidRDefault="00004946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946" w:rsidRPr="00F16C1E" w:rsidRDefault="00004946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</w:tr>
      <w:tr w:rsidR="00F16C1E" w:rsidRPr="00F16C1E" w:rsidTr="00F16C1E">
        <w:trPr>
          <w:trHeight w:val="187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6C1E" w:rsidRPr="00F16C1E" w:rsidRDefault="00F16C1E" w:rsidP="0045566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Efectuar capacitación a los </w:t>
            </w:r>
            <w:r w:rsidR="0045566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secretarios</w:t>
            </w: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, en el caso de los delegados que lo tengan,  especialmente a aquellos que no cursen la carrera de derecho o afines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Establecer  el acatamiento de las  resoluciones de la máxima autoridad para cubrir turnos en caso de fuerza mayor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Respeto a la jerarquía institucional( agotar cadena de mando)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F16C1E" w:rsidRPr="00F16C1E" w:rsidTr="00F16C1E">
        <w:trPr>
          <w:trHeight w:val="211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Respetar al personal superior jerárquico, en los casos de permisos de ausencias en horario laboral o para solicitar el permiso de salida correspondiente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Retraso en el </w:t>
            </w:r>
            <w:r w:rsidR="003F61C1"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envió</w:t>
            </w: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al Dpto. De </w:t>
            </w:r>
            <w:r w:rsidR="003F61C1"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Relatoría</w:t>
            </w: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expdtes</w:t>
            </w:r>
            <w:proofErr w:type="spellEnd"/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para las resoluciones por supuestas limitaciones de espacio o falta de personal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F16C1E" w:rsidRPr="00F16C1E" w:rsidTr="00F16C1E">
        <w:trPr>
          <w:trHeight w:val="189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1E" w:rsidRPr="00F16C1E" w:rsidRDefault="0045566E" w:rsidP="00070A8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</w:t>
            </w:r>
            <w:r w:rsidR="00F16C1E"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ontar con los insumos básicos para desarrollar los trabajos correspondientes.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Se necesitan nuevos equipos informáticos y sillas adecuadas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F16C1E" w:rsidRPr="00F16C1E" w:rsidTr="00F16C1E">
        <w:trPr>
          <w:trHeight w:val="31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Funcionamiento de las </w:t>
            </w:r>
            <w:r w:rsidR="0045566E"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líneas</w:t>
            </w: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F16C1E" w:rsidRPr="00F16C1E" w:rsidTr="00F16C1E">
        <w:trPr>
          <w:trHeight w:val="31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45566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telefónicas</w:t>
            </w:r>
            <w:r w:rsidR="00F16C1E"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para agilizar las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F16C1E" w:rsidRPr="00F16C1E" w:rsidTr="00F96B7C">
        <w:trPr>
          <w:trHeight w:val="274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16C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consultas de recurrentes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1E" w:rsidRPr="00F16C1E" w:rsidRDefault="00F16C1E" w:rsidP="00F16C1E">
            <w:pPr>
              <w:jc w:val="lef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16C1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</w:tbl>
    <w:p w:rsidR="00272793" w:rsidRDefault="00D619F1" w:rsidP="00D619F1">
      <w:pPr>
        <w:jc w:val="both"/>
      </w:pPr>
      <w:r>
        <w:t xml:space="preserve">    Verificado por:                                                                                                      Cargo:                                                                               Sello: </w:t>
      </w:r>
    </w:p>
    <w:sectPr w:rsidR="00272793" w:rsidSect="00F16C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9BE" w:rsidRDefault="007349BE" w:rsidP="00F16C1E">
      <w:r>
        <w:separator/>
      </w:r>
    </w:p>
  </w:endnote>
  <w:endnote w:type="continuationSeparator" w:id="0">
    <w:p w:rsidR="007349BE" w:rsidRDefault="007349BE" w:rsidP="00F16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946" w:rsidRDefault="0000494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946" w:rsidRDefault="0000494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946" w:rsidRDefault="0000494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9BE" w:rsidRDefault="007349BE" w:rsidP="00F16C1E">
      <w:r>
        <w:separator/>
      </w:r>
    </w:p>
  </w:footnote>
  <w:footnote w:type="continuationSeparator" w:id="0">
    <w:p w:rsidR="007349BE" w:rsidRDefault="007349BE" w:rsidP="00F16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946" w:rsidRDefault="0000494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C1E" w:rsidRDefault="00F16C1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946" w:rsidRDefault="0000494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D40"/>
    <w:rsid w:val="00004946"/>
    <w:rsid w:val="00070A8B"/>
    <w:rsid w:val="000875C6"/>
    <w:rsid w:val="0010779B"/>
    <w:rsid w:val="00124F9B"/>
    <w:rsid w:val="00272793"/>
    <w:rsid w:val="00307798"/>
    <w:rsid w:val="00382285"/>
    <w:rsid w:val="003F61C1"/>
    <w:rsid w:val="00406208"/>
    <w:rsid w:val="0045566E"/>
    <w:rsid w:val="007349BE"/>
    <w:rsid w:val="00797F13"/>
    <w:rsid w:val="008E4F50"/>
    <w:rsid w:val="00973D40"/>
    <w:rsid w:val="00A074E4"/>
    <w:rsid w:val="00B87703"/>
    <w:rsid w:val="00C34C67"/>
    <w:rsid w:val="00C945FD"/>
    <w:rsid w:val="00D619F1"/>
    <w:rsid w:val="00EA6B4E"/>
    <w:rsid w:val="00EC77F3"/>
    <w:rsid w:val="00F16C1E"/>
    <w:rsid w:val="00F9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7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F16C1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16C1E"/>
  </w:style>
  <w:style w:type="paragraph" w:styleId="Piedepgina">
    <w:name w:val="footer"/>
    <w:basedOn w:val="Normal"/>
    <w:link w:val="PiedepginaCar"/>
    <w:uiPriority w:val="99"/>
    <w:semiHidden/>
    <w:unhideWhenUsed/>
    <w:rsid w:val="00F16C1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16C1E"/>
  </w:style>
  <w:style w:type="paragraph" w:styleId="Textodeglobo">
    <w:name w:val="Balloon Text"/>
    <w:basedOn w:val="Normal"/>
    <w:link w:val="TextodegloboCar"/>
    <w:uiPriority w:val="99"/>
    <w:semiHidden/>
    <w:unhideWhenUsed/>
    <w:rsid w:val="00F16C1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6C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456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usuario</cp:lastModifiedBy>
  <cp:revision>16</cp:revision>
  <cp:lastPrinted>2017-11-30T16:33:00Z</cp:lastPrinted>
  <dcterms:created xsi:type="dcterms:W3CDTF">2017-11-30T15:32:00Z</dcterms:created>
  <dcterms:modified xsi:type="dcterms:W3CDTF">2018-03-06T14:35:00Z</dcterms:modified>
</cp:coreProperties>
</file>